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42" w:rsidRPr="001011EB" w:rsidRDefault="000E7542" w:rsidP="000E7542">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بِسْمِ اللّٰهِ الرَّحْمٰنِ الرَّحِيمِ</w:t>
      </w:r>
    </w:p>
    <w:p w:rsidR="000E7542" w:rsidRPr="001011EB" w:rsidRDefault="000E7542" w:rsidP="000E7542">
      <w:pPr>
        <w:spacing w:before="120" w:after="0" w:line="240" w:lineRule="auto"/>
        <w:jc w:val="center"/>
        <w:rPr>
          <w:rFonts w:ascii="Calibri" w:hAnsi="Calibri" w:cs="Calibri"/>
          <w:color w:val="FF0000"/>
          <w:sz w:val="28"/>
          <w:szCs w:val="28"/>
        </w:rPr>
      </w:pPr>
      <w:r w:rsidRPr="001011EB">
        <w:rPr>
          <w:rFonts w:ascii="Calibri" w:hAnsi="Calibri" w:cs="Calibri"/>
          <w:color w:val="FF0000"/>
          <w:sz w:val="28"/>
          <w:szCs w:val="28"/>
          <w:rtl/>
        </w:rPr>
        <w:t>وَ بِهِ نَسْتَعِينُ</w:t>
      </w:r>
    </w:p>
    <w:p w:rsidR="000E7542" w:rsidRPr="001011EB" w:rsidRDefault="000E7542" w:rsidP="000E7542">
      <w:pPr>
        <w:spacing w:before="120" w:after="0" w:line="240" w:lineRule="auto"/>
        <w:jc w:val="center"/>
        <w:rPr>
          <w:rFonts w:ascii="Calibri" w:hAnsi="Calibri" w:cs="Calibri"/>
          <w:color w:val="0000B0"/>
          <w:sz w:val="28"/>
          <w:szCs w:val="28"/>
        </w:rPr>
      </w:pPr>
      <w:r w:rsidRPr="001011EB">
        <w:rPr>
          <w:rFonts w:ascii="Calibri" w:hAnsi="Calibri" w:cs="Calibri"/>
          <w:color w:val="0000B0"/>
          <w:sz w:val="28"/>
          <w:szCs w:val="28"/>
        </w:rPr>
        <w:t xml:space="preserve">MESNEVİ-İ NURİYE </w:t>
      </w:r>
      <w:r>
        <w:rPr>
          <w:rFonts w:ascii="Calibri" w:hAnsi="Calibri" w:cs="Calibri"/>
          <w:color w:val="0000B0"/>
          <w:sz w:val="28"/>
          <w:szCs w:val="28"/>
        </w:rPr>
        <w:t>140</w:t>
      </w:r>
      <w:r w:rsidRPr="001011EB">
        <w:rPr>
          <w:rFonts w:ascii="Calibri" w:hAnsi="Calibri" w:cs="Calibri"/>
          <w:color w:val="0000B0"/>
          <w:sz w:val="28"/>
          <w:szCs w:val="28"/>
        </w:rPr>
        <w:t>. SAYFANIN TAHŞİYESİ</w:t>
      </w:r>
      <w:r>
        <w:rPr>
          <w:rFonts w:ascii="Calibri" w:hAnsi="Calibri" w:cs="Calibri"/>
          <w:color w:val="0000B0"/>
          <w:sz w:val="28"/>
          <w:szCs w:val="28"/>
        </w:rPr>
        <w:t>-</w:t>
      </w:r>
      <w:r w:rsidRPr="000E7542">
        <w:rPr>
          <w:rFonts w:ascii="Calibri" w:hAnsi="Calibri" w:cs="Calibri"/>
          <w:color w:val="0000B0"/>
          <w:sz w:val="28"/>
          <w:szCs w:val="28"/>
        </w:rPr>
        <w:t>İlm-i İlahi Karşısında Beşeri İlmin Aczi</w:t>
      </w:r>
      <w:r w:rsidR="00FB7C33">
        <w:rPr>
          <w:rStyle w:val="FootnoteReference"/>
          <w:rFonts w:ascii="Calibri" w:hAnsi="Calibri" w:cs="Calibri"/>
          <w:color w:val="0000B0"/>
          <w:sz w:val="28"/>
          <w:szCs w:val="28"/>
        </w:rPr>
        <w:footnoteReference w:id="2"/>
      </w:r>
    </w:p>
    <w:p w:rsidR="000E7542" w:rsidRPr="000E7542" w:rsidRDefault="000E7542" w:rsidP="000E7542">
      <w:pPr>
        <w:spacing w:before="120" w:after="0" w:line="240" w:lineRule="auto"/>
        <w:jc w:val="both"/>
        <w:rPr>
          <w:rFonts w:ascii="Calibri" w:hAnsi="Calibri" w:cs="Calibri"/>
          <w:sz w:val="24"/>
          <w:szCs w:val="24"/>
        </w:rPr>
      </w:pPr>
      <w:r w:rsidRPr="000E7542">
        <w:rPr>
          <w:rFonts w:ascii="Calibri" w:hAnsi="Calibri" w:cs="Calibri"/>
          <w:b/>
          <w:bCs/>
          <w:sz w:val="24"/>
          <w:szCs w:val="24"/>
        </w:rPr>
        <w:t>İ'lem Eyyühel-Aziz!</w:t>
      </w:r>
      <w:r w:rsidRPr="000E7542">
        <w:rPr>
          <w:rFonts w:ascii="Calibri" w:hAnsi="Calibri" w:cs="Calibri"/>
          <w:sz w:val="24"/>
          <w:szCs w:val="24"/>
        </w:rPr>
        <w:t xml:space="preserve"> Senin şuur ve ilminin sana taalluku, ahval ve levazımat-ı ihtiyacatın nisbetindedir. Çünki sebeb ile müsebbeb, kuvvet ile amel arasında münasebet lâzımdır. Fazla noksan olmamalıdır. Senin sana olan şuur ve ilminin nisbeti, Hâlıkın sana olan nazar ve ilmine nisbetle bir kıl gibidir. Binaenaleyh pek cüz'î olan ilim ve şuurunla, Şems-i Ezelî'nin ilim ve nazarına mukabele etmekle gündüz ortasında güneşin altında, güneşin ziyasıyla mübarezeye çıkan ateş böceği gibi olma!</w:t>
      </w:r>
      <w:r>
        <w:rPr>
          <w:rStyle w:val="FootnoteReference"/>
          <w:rFonts w:ascii="Calibri" w:hAnsi="Calibri" w:cs="Calibri"/>
          <w:sz w:val="24"/>
          <w:szCs w:val="24"/>
        </w:rPr>
        <w:footnoteReference w:id="3"/>
      </w:r>
    </w:p>
    <w:p w:rsidR="0069323D" w:rsidRDefault="0069323D" w:rsidP="000E7542">
      <w:pPr>
        <w:spacing w:before="120" w:after="0" w:line="240" w:lineRule="auto"/>
        <w:jc w:val="both"/>
        <w:rPr>
          <w:rFonts w:ascii="Calibri" w:hAnsi="Calibri" w:cs="Calibri"/>
          <w:sz w:val="24"/>
          <w:szCs w:val="24"/>
        </w:rPr>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042" w:rsidRDefault="00A17042" w:rsidP="000E7542">
      <w:pPr>
        <w:spacing w:after="0" w:line="240" w:lineRule="auto"/>
      </w:pPr>
      <w:r>
        <w:separator/>
      </w:r>
    </w:p>
  </w:endnote>
  <w:endnote w:type="continuationSeparator" w:id="1">
    <w:p w:rsidR="00A17042" w:rsidRDefault="00A17042" w:rsidP="000E7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042" w:rsidRDefault="00A17042" w:rsidP="000E7542">
      <w:pPr>
        <w:spacing w:after="0" w:line="240" w:lineRule="auto"/>
      </w:pPr>
      <w:r>
        <w:separator/>
      </w:r>
    </w:p>
  </w:footnote>
  <w:footnote w:type="continuationSeparator" w:id="1">
    <w:p w:rsidR="00A17042" w:rsidRDefault="00A17042" w:rsidP="000E7542">
      <w:pPr>
        <w:spacing w:after="0" w:line="240" w:lineRule="auto"/>
      </w:pPr>
      <w:r>
        <w:continuationSeparator/>
      </w:r>
    </w:p>
  </w:footnote>
  <w:footnote w:id="2">
    <w:p w:rsidR="00FB7C33" w:rsidRPr="00FB7C33" w:rsidRDefault="00FB7C33" w:rsidP="00FB7C33">
      <w:pPr>
        <w:pStyle w:val="FootnoteText"/>
        <w:spacing w:before="120"/>
        <w:jc w:val="both"/>
        <w:rPr>
          <w:i/>
          <w:iCs/>
          <w:sz w:val="24"/>
          <w:szCs w:val="24"/>
        </w:rPr>
      </w:pPr>
      <w:r w:rsidRPr="00FB7C33">
        <w:rPr>
          <w:rStyle w:val="FootnoteReference"/>
          <w:sz w:val="24"/>
          <w:szCs w:val="24"/>
        </w:rPr>
        <w:footnoteRef/>
      </w:r>
      <w:r w:rsidRPr="00FB7C33">
        <w:rPr>
          <w:sz w:val="24"/>
          <w:szCs w:val="24"/>
        </w:rPr>
        <w:t xml:space="preserve"> </w:t>
      </w:r>
      <w:r w:rsidRPr="00FB7C33">
        <w:rPr>
          <w:b/>
          <w:bCs/>
          <w:sz w:val="24"/>
          <w:szCs w:val="24"/>
        </w:rPr>
        <w:t xml:space="preserve">Ayrıca </w:t>
      </w:r>
      <w:r w:rsidRPr="00FB7C33">
        <w:rPr>
          <w:i/>
          <w:iCs/>
          <w:sz w:val="24"/>
          <w:szCs w:val="24"/>
        </w:rPr>
        <w:t xml:space="preserve">(Bakınız: </w:t>
      </w:r>
      <w:r w:rsidRPr="00FB7C33">
        <w:rPr>
          <w:i/>
          <w:iCs/>
          <w:sz w:val="24"/>
          <w:szCs w:val="24"/>
          <w:highlight w:val="yellow"/>
        </w:rPr>
        <w:t>Akıl</w:t>
      </w:r>
      <w:r w:rsidRPr="00FB7C33">
        <w:rPr>
          <w:i/>
          <w:iCs/>
          <w:sz w:val="24"/>
          <w:szCs w:val="24"/>
        </w:rPr>
        <w:t xml:space="preserve"> ve </w:t>
      </w:r>
      <w:r w:rsidRPr="00FB7C33">
        <w:rPr>
          <w:i/>
          <w:iCs/>
          <w:sz w:val="24"/>
          <w:szCs w:val="24"/>
          <w:highlight w:val="yellow"/>
        </w:rPr>
        <w:t>Nakli Delillere Teslimiyet Esastır</w:t>
      </w:r>
      <w:r w:rsidRPr="00FB7C33">
        <w:rPr>
          <w:i/>
          <w:iCs/>
          <w:sz w:val="24"/>
          <w:szCs w:val="24"/>
        </w:rPr>
        <w:t xml:space="preserve"> Derlemeleri ve İslam Prensipleri Ansiklopedisi </w:t>
      </w:r>
      <w:r w:rsidRPr="00FB7C33">
        <w:rPr>
          <w:i/>
          <w:iCs/>
          <w:sz w:val="24"/>
          <w:szCs w:val="24"/>
          <w:highlight w:val="yellow"/>
        </w:rPr>
        <w:t>Nakli Delil</w:t>
      </w:r>
      <w:r w:rsidRPr="00FB7C33">
        <w:rPr>
          <w:i/>
          <w:iCs/>
          <w:sz w:val="24"/>
          <w:szCs w:val="24"/>
        </w:rPr>
        <w:t xml:space="preserve"> Maddesi)</w:t>
      </w:r>
    </w:p>
  </w:footnote>
  <w:footnote w:id="3">
    <w:p w:rsidR="00911F6B" w:rsidRDefault="000E7542" w:rsidP="00FB7C33">
      <w:pPr>
        <w:spacing w:before="120" w:after="0" w:line="240" w:lineRule="auto"/>
        <w:jc w:val="both"/>
        <w:rPr>
          <w:sz w:val="24"/>
          <w:szCs w:val="24"/>
        </w:rPr>
      </w:pPr>
      <w:r w:rsidRPr="00911F6B">
        <w:rPr>
          <w:rStyle w:val="FootnoteReference"/>
          <w:sz w:val="24"/>
          <w:szCs w:val="24"/>
        </w:rPr>
        <w:footnoteRef/>
      </w:r>
      <w:r w:rsidRPr="00911F6B">
        <w:rPr>
          <w:sz w:val="24"/>
          <w:szCs w:val="24"/>
        </w:rPr>
        <w:t xml:space="preserve"> </w:t>
      </w:r>
      <w:r w:rsidR="00911F6B" w:rsidRPr="00911F6B">
        <w:rPr>
          <w:b/>
          <w:bCs/>
          <w:sz w:val="24"/>
          <w:szCs w:val="24"/>
        </w:rPr>
        <w:t>Aklın kendi başına hakaik-i kainatı ve hakaik-i diniyeyi idrakten aciz olduğuna dair bazı parçalar:</w:t>
      </w:r>
    </w:p>
    <w:p w:rsidR="000E7542" w:rsidRPr="000E7542" w:rsidRDefault="000E7542" w:rsidP="00FB7C33">
      <w:pPr>
        <w:spacing w:before="120" w:after="0" w:line="240" w:lineRule="auto"/>
        <w:jc w:val="both"/>
        <w:rPr>
          <w:rFonts w:ascii="Calibri" w:hAnsi="Calibri" w:cs="Calibri"/>
          <w:sz w:val="24"/>
          <w:szCs w:val="24"/>
        </w:rPr>
      </w:pPr>
      <w:r w:rsidRPr="00911F6B">
        <w:rPr>
          <w:rFonts w:ascii="Calibri" w:hAnsi="Calibri" w:cs="Calibri"/>
          <w:sz w:val="24"/>
          <w:szCs w:val="24"/>
        </w:rPr>
        <w:t>“Arkadaş! Vesvese ve evham zulmetleri içinde yürürken, Resul-i Ekrem'in (A.S.M.) sünnetleri birer</w:t>
      </w:r>
      <w:r w:rsidRPr="000E7542">
        <w:rPr>
          <w:rFonts w:ascii="Calibri" w:hAnsi="Calibri" w:cs="Calibri"/>
          <w:sz w:val="24"/>
          <w:szCs w:val="24"/>
        </w:rPr>
        <w:t xml:space="preserve"> yıldız, birer lâmba vazifesini gördüklerini gördüm. Herbir sünnet veya bir hadd-i şer'î, zulmetli dalalet yollarında güneş gibi parlıyor. O yollarda insan, zerre-miskal o sünnetlerden inhiraf ve udûl ederse; şeytanlara mel'ab, evhama merkeb, ehval ve korkulara ma'rez ve dağlar kadar ağır yüklere matiyye olacaktır.</w:t>
      </w:r>
    </w:p>
    <w:p w:rsidR="000E7542" w:rsidRDefault="000E7542" w:rsidP="00FB7C33">
      <w:pPr>
        <w:spacing w:before="120" w:after="0" w:line="240" w:lineRule="auto"/>
        <w:jc w:val="both"/>
        <w:rPr>
          <w:rFonts w:ascii="Calibri" w:hAnsi="Calibri" w:cs="Calibri"/>
          <w:b/>
          <w:bCs/>
          <w:sz w:val="24"/>
          <w:szCs w:val="24"/>
        </w:rPr>
      </w:pPr>
      <w:r w:rsidRPr="000E7542">
        <w:rPr>
          <w:rFonts w:ascii="Calibri" w:hAnsi="Calibri" w:cs="Calibri"/>
          <w:sz w:val="24"/>
          <w:szCs w:val="24"/>
        </w:rPr>
        <w:t>Ve keza o sünnetleri, sanki semadan tedelli ve tenezzül eden ipler gibi gördüm ki, onlara temessük eden yükselir, saadetlere nâil olur. Muhalefet edip de akla dayananlar ise, uzun bir minare ile semaya çıkmak hamakatında bulunan Firavun gibi bir firavun olur...</w:t>
      </w:r>
      <w:r>
        <w:rPr>
          <w:rFonts w:ascii="Calibri" w:hAnsi="Calibri" w:cs="Calibri"/>
          <w:sz w:val="24"/>
          <w:szCs w:val="24"/>
        </w:rPr>
        <w:t xml:space="preserve">” </w:t>
      </w:r>
      <w:r w:rsidRPr="000E7542">
        <w:rPr>
          <w:rFonts w:ascii="Calibri" w:hAnsi="Calibri" w:cs="Calibri"/>
          <w:b/>
          <w:bCs/>
          <w:sz w:val="24"/>
          <w:szCs w:val="24"/>
        </w:rPr>
        <w:t>Mesnevi-i Nuriye (</w:t>
      </w:r>
      <w:r>
        <w:rPr>
          <w:rFonts w:ascii="Calibri" w:hAnsi="Calibri" w:cs="Calibri"/>
          <w:b/>
          <w:bCs/>
          <w:sz w:val="24"/>
          <w:szCs w:val="24"/>
        </w:rPr>
        <w:t>77</w:t>
      </w:r>
      <w:r w:rsidRPr="000E7542">
        <w:rPr>
          <w:rFonts w:ascii="Calibri" w:hAnsi="Calibri" w:cs="Calibri"/>
          <w:b/>
          <w:bCs/>
          <w:sz w:val="24"/>
          <w:szCs w:val="24"/>
        </w:rPr>
        <w:t>)</w:t>
      </w:r>
    </w:p>
    <w:p w:rsidR="00AF6061" w:rsidRDefault="00AF6061" w:rsidP="00FB7C33">
      <w:pPr>
        <w:spacing w:before="120" w:after="0" w:line="240" w:lineRule="auto"/>
        <w:jc w:val="both"/>
        <w:rPr>
          <w:rFonts w:ascii="Calibri" w:hAnsi="Calibri" w:cs="Calibri"/>
          <w:b/>
          <w:bCs/>
          <w:sz w:val="24"/>
          <w:szCs w:val="24"/>
        </w:rPr>
      </w:pPr>
      <w:r w:rsidRPr="00AF6061">
        <w:rPr>
          <w:rFonts w:ascii="Calibri" w:hAnsi="Calibri" w:cs="Calibri"/>
          <w:sz w:val="24"/>
          <w:szCs w:val="24"/>
        </w:rPr>
        <w:t>“İ'lem Eyyühel-Aziz!</w:t>
      </w:r>
      <w:r w:rsidRPr="00AF6061">
        <w:rPr>
          <w:rFonts w:ascii="Calibri" w:hAnsi="Calibri" w:cs="Calibri"/>
          <w:color w:val="FF0000"/>
          <w:sz w:val="28"/>
          <w:szCs w:val="28"/>
          <w:rtl/>
        </w:rPr>
        <w:t>وَ اللّٰهُ مِنْ وَرَائِهِمْ مُحِيطٌ</w:t>
      </w:r>
      <w:r w:rsidRPr="00AF6061">
        <w:rPr>
          <w:rFonts w:ascii="Calibri" w:hAnsi="Calibri" w:cs="Calibri"/>
          <w:sz w:val="24"/>
          <w:szCs w:val="24"/>
        </w:rPr>
        <w:t xml:space="preserve"> Evet Allah ilmi, iradesi, kudreti ve sair sıfâtıyla muhittir. Daire-i ihatasından hariç bir şey yoktur. Fakat insan cüz'î ve kısa zihniyle Allah'ın azametine ve şemsin etrafında seyyaratı tedvir ettiğine bakarken, meselâ arı gibi küçük hayvanlar ile iştigal etmesini uzak görüyor.</w:t>
      </w:r>
      <w:r>
        <w:rPr>
          <w:rFonts w:ascii="Calibri" w:hAnsi="Calibri" w:cs="Calibri"/>
          <w:sz w:val="24"/>
          <w:szCs w:val="24"/>
        </w:rPr>
        <w:t xml:space="preserve"> </w:t>
      </w:r>
      <w:r w:rsidRPr="00AF6061">
        <w:rPr>
          <w:rFonts w:ascii="Calibri" w:hAnsi="Calibri" w:cs="Calibri"/>
          <w:sz w:val="24"/>
          <w:szCs w:val="24"/>
        </w:rPr>
        <w:t xml:space="preserve">Çünki Vâcib-ül Vücud'u, mümkine kıyas ediyor. Halbuki bu kıyasa göre küçük hayvanlara büyük bir zulüm olur. Çünki onlar da </w:t>
      </w:r>
      <w:r w:rsidRPr="00905048">
        <w:rPr>
          <w:rFonts w:ascii="Calibri" w:hAnsi="Calibri" w:cs="Calibri"/>
          <w:color w:val="FF0000"/>
          <w:sz w:val="28"/>
          <w:szCs w:val="28"/>
          <w:rtl/>
        </w:rPr>
        <w:t>وَ اِنْ مِنْ شَيْءٍ اِلاَّ يُسَبِّحُ بِحَمْدِهِ</w:t>
      </w:r>
      <w:r w:rsidRPr="00AF6061">
        <w:rPr>
          <w:rFonts w:ascii="Calibri" w:hAnsi="Calibri" w:cs="Calibri"/>
          <w:sz w:val="24"/>
          <w:szCs w:val="24"/>
        </w:rPr>
        <w:t xml:space="preserve"> kaziyesince Hâlıklarını tesbih etmekle, Allah'tan maada kimseyi Rab tanımıyorlar. Binaenaleyh büyüğün küçüğe tekebbür etmeye hakkı yoktur.</w:t>
      </w:r>
      <w:r>
        <w:rPr>
          <w:rFonts w:ascii="Calibri" w:hAnsi="Calibri" w:cs="Calibri"/>
          <w:sz w:val="24"/>
          <w:szCs w:val="24"/>
        </w:rPr>
        <w:t xml:space="preserve">” </w:t>
      </w:r>
      <w:r>
        <w:rPr>
          <w:rFonts w:ascii="Calibri" w:hAnsi="Calibri" w:cs="Calibri"/>
          <w:b/>
          <w:bCs/>
          <w:sz w:val="24"/>
          <w:szCs w:val="24"/>
        </w:rPr>
        <w:t>Mesnevi-i Nuriye (187 - 188</w:t>
      </w:r>
      <w:r w:rsidRPr="00AF6061">
        <w:rPr>
          <w:rFonts w:ascii="Calibri" w:hAnsi="Calibri" w:cs="Calibri"/>
          <w:b/>
          <w:bCs/>
          <w:sz w:val="24"/>
          <w:szCs w:val="24"/>
        </w:rPr>
        <w:t>)</w:t>
      </w:r>
    </w:p>
    <w:p w:rsidR="00905048" w:rsidRDefault="00905048" w:rsidP="00FB7C33">
      <w:pPr>
        <w:spacing w:before="120" w:after="0" w:line="240" w:lineRule="auto"/>
        <w:jc w:val="both"/>
        <w:rPr>
          <w:rFonts w:ascii="Calibri" w:hAnsi="Calibri" w:cs="Calibri"/>
          <w:b/>
          <w:bCs/>
          <w:sz w:val="24"/>
          <w:szCs w:val="24"/>
        </w:rPr>
      </w:pPr>
      <w:r>
        <w:rPr>
          <w:rFonts w:ascii="Calibri" w:hAnsi="Calibri" w:cs="Calibri"/>
          <w:sz w:val="24"/>
          <w:szCs w:val="24"/>
        </w:rPr>
        <w:t>“</w:t>
      </w:r>
      <w:r w:rsidRPr="00905048">
        <w:rPr>
          <w:rFonts w:ascii="Calibri" w:hAnsi="Calibri" w:cs="Calibri"/>
          <w:sz w:val="24"/>
          <w:szCs w:val="24"/>
        </w:rPr>
        <w:t>ruh-u beşerde pek çok istidad ve kabiliyetlerin tohumlarını ekmiştir. Fakat o istidadların terbiyesini ve neticesini cüz'-i ihtiyarînin eline vermiştir. O cüz'-i ihtiyarînin yuları da şeriatın ve delail-i nakliyenin eline verilmiştir. Binaenaleyh Cenab-ı Hakk'ın ahdini bozmamak ve îfa etmek, ancak o istidadları lâyık ve münasib yerlerine sarfetmekle olur. Ahdin nakzı ise, bozmak ve parçalamaktan ibarettir. Meselâ: Bazı enbiyaya iman ve tasdik, bazılarını inkâr ve tekzib; bazı hükümleri kabul, bazılarını red; bazı âyetleri tahsin, bazılarını kabih ve çirkin görmek gibi. Zira böylece yapılan nakz-ı ahd; nazmı, nizamı, intizamı ihlâl eder, bozar.</w:t>
      </w:r>
      <w:r>
        <w:rPr>
          <w:rFonts w:ascii="Calibri" w:hAnsi="Calibri" w:cs="Calibri"/>
          <w:sz w:val="24"/>
          <w:szCs w:val="24"/>
        </w:rPr>
        <w:t xml:space="preserve">” </w:t>
      </w:r>
      <w:r>
        <w:rPr>
          <w:rFonts w:ascii="Calibri" w:hAnsi="Calibri" w:cs="Calibri"/>
          <w:b/>
          <w:bCs/>
          <w:sz w:val="24"/>
          <w:szCs w:val="24"/>
        </w:rPr>
        <w:t>İşarat-ül İ'caz (173 - 174</w:t>
      </w:r>
      <w:r w:rsidRPr="00905048">
        <w:rPr>
          <w:rFonts w:ascii="Calibri" w:hAnsi="Calibri" w:cs="Calibri"/>
          <w:b/>
          <w:bCs/>
          <w:sz w:val="24"/>
          <w:szCs w:val="24"/>
        </w:rPr>
        <w:t>)</w:t>
      </w:r>
    </w:p>
    <w:p w:rsidR="00905048" w:rsidRDefault="00905048" w:rsidP="00FB7C33">
      <w:pPr>
        <w:spacing w:before="120" w:after="0" w:line="240" w:lineRule="auto"/>
        <w:jc w:val="both"/>
        <w:rPr>
          <w:rFonts w:ascii="Calibri" w:hAnsi="Calibri" w:cs="Calibri"/>
          <w:b/>
          <w:bCs/>
          <w:sz w:val="24"/>
          <w:szCs w:val="24"/>
        </w:rPr>
      </w:pPr>
      <w:r w:rsidRPr="00905048">
        <w:rPr>
          <w:rFonts w:ascii="Calibri" w:hAnsi="Calibri" w:cs="Calibri"/>
          <w:sz w:val="24"/>
          <w:szCs w:val="24"/>
        </w:rPr>
        <w:t>“Bu gibi vesvese ehl-i İtizale lâyıktır. Çünki onlar derler: "Medar-ı teklif olan ef'al ve eşya, kendi zâtında, âhiret itibariyle ya hüsnü var; sonra o hüsne binaen emredilmiş veya kubhu var; sonra ona binaen nehyedilmiş. Demek eşyada, âhiret ve hakikat nokta-i nazarında olan hüsün ve kubh zâtîdir; emir ve nehy-i İlahî ona tâbi'dir." Bu mezhebe göre, insan her işlediği amelde şöyle bir vesvese gelir: "Acaba amelim nefs-ül emirdeki güzel surette yapılmış mıdır?" Amma mezheb-i hak olan Ehl-i Sünnet ve Cemaat derler ki: Cenab-ı Hak bir şeye emreder, sonra hasen olur. Nehyeder, sonra kabih olur. Demek emir ile güzellik, nehy ile çirkinlik tahakkuk eder. Hüsün ve kubh mükellefin ıttılaına bakar ve ona göre takarrür eder. Şu hüsün ve kubh ise, surî ve dünyaya bakan yüzünde değil</w:t>
      </w:r>
      <w:r>
        <w:rPr>
          <w:rFonts w:ascii="Calibri" w:hAnsi="Calibri" w:cs="Calibri"/>
          <w:sz w:val="24"/>
          <w:szCs w:val="24"/>
        </w:rPr>
        <w:t xml:space="preserve">, belki âhirete bakan yüzdedir.” </w:t>
      </w:r>
      <w:r>
        <w:rPr>
          <w:rFonts w:ascii="Calibri" w:hAnsi="Calibri" w:cs="Calibri"/>
          <w:b/>
          <w:bCs/>
          <w:sz w:val="24"/>
          <w:szCs w:val="24"/>
        </w:rPr>
        <w:t>Sözler (</w:t>
      </w:r>
      <w:r w:rsidRPr="00905048">
        <w:rPr>
          <w:rFonts w:ascii="Calibri" w:hAnsi="Calibri" w:cs="Calibri"/>
          <w:b/>
          <w:bCs/>
          <w:sz w:val="24"/>
          <w:szCs w:val="24"/>
        </w:rPr>
        <w:t>276)</w:t>
      </w:r>
    </w:p>
    <w:p w:rsidR="00911F6B" w:rsidRPr="00911F6B" w:rsidRDefault="00911F6B" w:rsidP="00FB7C33">
      <w:pPr>
        <w:spacing w:before="120" w:after="0" w:line="240" w:lineRule="auto"/>
        <w:jc w:val="both"/>
        <w:rPr>
          <w:rFonts w:ascii="Calibri" w:hAnsi="Calibri" w:cs="Calibri"/>
          <w:sz w:val="24"/>
          <w:szCs w:val="24"/>
        </w:rPr>
      </w:pPr>
      <w:r>
        <w:rPr>
          <w:rFonts w:ascii="Calibri" w:hAnsi="Calibri" w:cs="Calibri"/>
          <w:sz w:val="24"/>
          <w:szCs w:val="24"/>
        </w:rPr>
        <w:t>“</w:t>
      </w:r>
      <w:r w:rsidRPr="00911F6B">
        <w:rPr>
          <w:rFonts w:ascii="Calibri" w:hAnsi="Calibri" w:cs="Calibri"/>
          <w:sz w:val="24"/>
          <w:szCs w:val="24"/>
        </w:rPr>
        <w:t>Mesail iki kısımdır:</w:t>
      </w:r>
    </w:p>
    <w:p w:rsidR="00911F6B" w:rsidRPr="00911F6B" w:rsidRDefault="00911F6B" w:rsidP="00FB7C33">
      <w:pPr>
        <w:spacing w:before="120" w:after="0" w:line="240" w:lineRule="auto"/>
        <w:jc w:val="both"/>
        <w:rPr>
          <w:rFonts w:ascii="Calibri" w:hAnsi="Calibri" w:cs="Calibri"/>
          <w:sz w:val="24"/>
          <w:szCs w:val="24"/>
        </w:rPr>
      </w:pPr>
      <w:r w:rsidRPr="00911F6B">
        <w:rPr>
          <w:rFonts w:ascii="Calibri" w:hAnsi="Calibri" w:cs="Calibri"/>
          <w:sz w:val="24"/>
          <w:szCs w:val="24"/>
        </w:rPr>
        <w:t>Birisinde telahuk-u efkâr tesir eder. Belki ona mütevakkıftır. Nasılki maddiyatta büyük bir taşı kaldırmak için teavün lâzımdır.</w:t>
      </w:r>
    </w:p>
    <w:p w:rsidR="00911F6B" w:rsidRPr="00911F6B" w:rsidRDefault="00911F6B" w:rsidP="00FB7C33">
      <w:pPr>
        <w:spacing w:before="120" w:after="0" w:line="240" w:lineRule="auto"/>
        <w:jc w:val="both"/>
        <w:rPr>
          <w:rFonts w:ascii="Calibri" w:hAnsi="Calibri" w:cs="Calibri"/>
          <w:sz w:val="24"/>
          <w:szCs w:val="24"/>
        </w:rPr>
      </w:pPr>
      <w:r w:rsidRPr="00911F6B">
        <w:rPr>
          <w:rFonts w:ascii="Calibri" w:hAnsi="Calibri" w:cs="Calibri"/>
          <w:sz w:val="24"/>
          <w:szCs w:val="24"/>
        </w:rPr>
        <w:t>Kısm-ı diğerîde esas itibariyle telahuk ve teavün tesirsizdir. Bin de, bir de birdir. Nasılki hariçte bir uçurum üzerinden atlamak veyahut bir dar yerden geçmekte küll ve küll-ü vâhid birdir. Teavün faide vermez.</w:t>
      </w:r>
    </w:p>
    <w:p w:rsidR="00911F6B" w:rsidRPr="00911F6B" w:rsidRDefault="00911F6B" w:rsidP="00FB7C33">
      <w:pPr>
        <w:spacing w:before="120" w:after="0" w:line="240" w:lineRule="auto"/>
        <w:jc w:val="both"/>
        <w:rPr>
          <w:rFonts w:ascii="Calibri" w:hAnsi="Calibri" w:cs="Calibri"/>
          <w:sz w:val="24"/>
          <w:szCs w:val="24"/>
        </w:rPr>
      </w:pPr>
      <w:r w:rsidRPr="00911F6B">
        <w:rPr>
          <w:rFonts w:ascii="Calibri" w:hAnsi="Calibri" w:cs="Calibri"/>
          <w:sz w:val="24"/>
          <w:szCs w:val="24"/>
        </w:rPr>
        <w:t>Bu kıyasa binaen fünunun bir kısmı, büyük taşın kaldırılması gibi teavüne muhtaçtır. Bunların ekseri, ulûm-u maddiyedendir. Diğer bir kısmı, ikinci misale benzer. Tekemmülü def'î, yahut def'î gibi olur. Bu ise, ağlebi maneviyat veya ulûm-u İlahiyedendir. Lâkin eğer çendan telahuk-u efkâr bu kısm-ı saninin mahiyetini tağyir ve tekmil ve tezyid edemez ise de; bürhanların mesleklerine vuzuh ve zuhur ve kuvvet verir.</w:t>
      </w:r>
    </w:p>
    <w:p w:rsidR="00911F6B" w:rsidRDefault="00911F6B" w:rsidP="00FB7C33">
      <w:pPr>
        <w:spacing w:before="120" w:after="0" w:line="240" w:lineRule="auto"/>
        <w:jc w:val="both"/>
        <w:rPr>
          <w:rFonts w:ascii="Calibri" w:hAnsi="Calibri" w:cs="Calibri"/>
          <w:b/>
          <w:bCs/>
          <w:sz w:val="24"/>
          <w:szCs w:val="24"/>
        </w:rPr>
      </w:pPr>
      <w:r w:rsidRPr="00911F6B">
        <w:rPr>
          <w:rFonts w:ascii="Calibri" w:hAnsi="Calibri" w:cs="Calibri"/>
          <w:sz w:val="24"/>
          <w:szCs w:val="24"/>
        </w:rPr>
        <w:t>Hem de nazar-ı dikkate almak lâzımdır ki: Kim bir şeyde çok tevaggul etse; galiben başkasında gabileşmesine sebebiyet verir. Bu sırra binaendir ki: Maddiyatta</w:t>
      </w:r>
      <w:r>
        <w:rPr>
          <w:rFonts w:ascii="Calibri" w:hAnsi="Calibri" w:cs="Calibri"/>
          <w:sz w:val="24"/>
          <w:szCs w:val="24"/>
        </w:rPr>
        <w:t xml:space="preserve"> </w:t>
      </w:r>
      <w:r w:rsidRPr="00911F6B">
        <w:rPr>
          <w:rFonts w:ascii="Calibri" w:hAnsi="Calibri" w:cs="Calibri"/>
          <w:sz w:val="24"/>
          <w:szCs w:val="24"/>
        </w:rPr>
        <w:t>tevaggul eden, maneviyatta gabileşir ve sathî olur. Bu noktaya nazaran; maddiyatta mehareti olanın maneviyatta hükmü hüccet olmasına sebeb olmadığı gibi, çok defa sözü dahi şâyan-ı istima' değildir.</w:t>
      </w:r>
      <w:r w:rsidR="003F6DD2">
        <w:rPr>
          <w:rFonts w:ascii="Calibri" w:hAnsi="Calibri" w:cs="Calibri"/>
          <w:sz w:val="24"/>
          <w:szCs w:val="24"/>
        </w:rPr>
        <w:t xml:space="preserve"> </w:t>
      </w:r>
      <w:r w:rsidR="003F6DD2" w:rsidRPr="003F6DD2">
        <w:rPr>
          <w:rFonts w:ascii="Calibri" w:hAnsi="Calibri" w:cs="Calibri"/>
          <w:sz w:val="24"/>
          <w:szCs w:val="24"/>
        </w:rPr>
        <w:t>Evet bir hasta; tıbbı hendeseye kıyas ederek, tabibe bedelen mühendise müracaat edip gösterdiği ilâcı istimal eder ise; akrabasına ta'ziye vermeye davet ve kendisi için kabristan-ı fenanın hastahanesine nakl-i mekân etmek için bir raporu istemek demektir. Kezalik hakaik-i mahza ve mücerredat-ı sırfeden olan maneviyatta, maddiyyunun hükümlerine müracaat ve fikirleriyle istişare etmek, âdeta latife-i Rabbaniye denilen kalbin sektesini ve cevher-i nuranî olan aklın sekeratını ilân etmek demektir. Evet herşeyi maddiyatta arayanların akılları gözlerindedir. Göz ise maneviyatı göremez...</w:t>
      </w:r>
      <w:r>
        <w:rPr>
          <w:rFonts w:ascii="Calibri" w:hAnsi="Calibri" w:cs="Calibri"/>
          <w:sz w:val="24"/>
          <w:szCs w:val="24"/>
        </w:rPr>
        <w:t xml:space="preserve">” </w:t>
      </w:r>
      <w:r>
        <w:rPr>
          <w:rFonts w:ascii="Calibri" w:hAnsi="Calibri" w:cs="Calibri"/>
          <w:b/>
          <w:bCs/>
          <w:sz w:val="24"/>
          <w:szCs w:val="24"/>
        </w:rPr>
        <w:t>Muhakemat (</w:t>
      </w:r>
      <w:r w:rsidRPr="00911F6B">
        <w:rPr>
          <w:rFonts w:ascii="Calibri" w:hAnsi="Calibri" w:cs="Calibri"/>
          <w:b/>
          <w:bCs/>
          <w:sz w:val="24"/>
          <w:szCs w:val="24"/>
        </w:rPr>
        <w:t>17 - 18)</w:t>
      </w:r>
    </w:p>
    <w:p w:rsidR="003F6DD2" w:rsidRPr="000E7542" w:rsidRDefault="003F6DD2" w:rsidP="00FB7C33">
      <w:pPr>
        <w:spacing w:before="120" w:after="0" w:line="240" w:lineRule="auto"/>
        <w:jc w:val="both"/>
        <w:rPr>
          <w:rFonts w:ascii="Calibri" w:hAnsi="Calibri" w:cs="Calibri"/>
          <w:b/>
          <w:bCs/>
          <w:sz w:val="24"/>
          <w:szCs w:val="24"/>
        </w:rPr>
      </w:pPr>
      <w:r w:rsidRPr="003F6DD2">
        <w:rPr>
          <w:rFonts w:ascii="Calibri" w:hAnsi="Calibri" w:cs="Calibri"/>
          <w:sz w:val="24"/>
          <w:szCs w:val="24"/>
        </w:rPr>
        <w:t>“</w:t>
      </w:r>
      <w:r w:rsidRPr="003F6DD2">
        <w:rPr>
          <w:rFonts w:ascii="Calibri" w:hAnsi="Calibri" w:cs="Calibri"/>
          <w:sz w:val="24"/>
          <w:szCs w:val="24"/>
        </w:rPr>
        <w:t>Hakaik-i İlahiyeye ve hakaik-i kevniyeye ve umûr-u uhreviyeye dair ihbarat-ı gaybiyesidir. Evet Kur'anın hakaik-i İlahiyeye dair beyanatı ve tılsım-ı kâinatı fethedip ve hilkat-i âlemin muammasını açan beyanat-ı kevniyesi, ihbarat-ı gaybiyenin en mühimmidir. Çünki o hakaik-i gaybiyeyi hadsiz dalalet yolları içinde istikametle onları gidip bulmak, akl-ı beşerin kârı değildir ve olamaz. Beşerin en dâhî hükemaları o mesailin en küçüğüne akıllarıyla yetişmediği malûmdur. Hem Kur'an, gösterdiği o hakaik-i İlahiye ve o hakaik-i kevniyeyi beyandan sonra ve safa-yı kalb ve tezkiye-i nefisten sonra ve ruhun terakkiyatından ve aklın tekemmülünden sonra beşerin ukûlü "Sadakte" deyip o hakaikı kabul ed</w:t>
      </w:r>
      <w:r>
        <w:rPr>
          <w:rFonts w:ascii="Calibri" w:hAnsi="Calibri" w:cs="Calibri"/>
          <w:sz w:val="24"/>
          <w:szCs w:val="24"/>
        </w:rPr>
        <w:t xml:space="preserve">er. Kur'ana "Bârekâllah" der.” </w:t>
      </w:r>
      <w:r>
        <w:rPr>
          <w:rFonts w:ascii="Calibri" w:hAnsi="Calibri" w:cs="Calibri"/>
          <w:b/>
          <w:bCs/>
          <w:sz w:val="24"/>
          <w:szCs w:val="24"/>
        </w:rPr>
        <w:t>Sözler (</w:t>
      </w:r>
      <w:r w:rsidRPr="003F6DD2">
        <w:rPr>
          <w:rFonts w:ascii="Calibri" w:hAnsi="Calibri" w:cs="Calibri"/>
          <w:b/>
          <w:bCs/>
          <w:sz w:val="24"/>
          <w:szCs w:val="24"/>
        </w:rPr>
        <w:t>406)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E7542"/>
    <w:rsid w:val="000E7542"/>
    <w:rsid w:val="00373A3D"/>
    <w:rsid w:val="003F52B1"/>
    <w:rsid w:val="003F6DD2"/>
    <w:rsid w:val="00540DB3"/>
    <w:rsid w:val="0069323D"/>
    <w:rsid w:val="006F7B74"/>
    <w:rsid w:val="00905048"/>
    <w:rsid w:val="00911F6B"/>
    <w:rsid w:val="009D40C3"/>
    <w:rsid w:val="00A17042"/>
    <w:rsid w:val="00A43BFB"/>
    <w:rsid w:val="00AF6061"/>
    <w:rsid w:val="00ED3E32"/>
    <w:rsid w:val="00FB7C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E7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542"/>
    <w:rPr>
      <w:sz w:val="20"/>
      <w:szCs w:val="20"/>
    </w:rPr>
  </w:style>
  <w:style w:type="character" w:styleId="FootnoteReference">
    <w:name w:val="footnote reference"/>
    <w:basedOn w:val="DefaultParagraphFont"/>
    <w:uiPriority w:val="99"/>
    <w:semiHidden/>
    <w:unhideWhenUsed/>
    <w:rsid w:val="000E754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FCF6C-3BFB-4120-9234-91381DAE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5</cp:revision>
  <dcterms:created xsi:type="dcterms:W3CDTF">2023-11-29T17:54:00Z</dcterms:created>
  <dcterms:modified xsi:type="dcterms:W3CDTF">2023-11-30T20:01:00Z</dcterms:modified>
</cp:coreProperties>
</file>